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6"/>
    <w:p>
      <w:pPr>
        <w:pStyle w:val="Heading1"/>
      </w:pPr>
      <w:r>
        <w:t xml:space="preserve">Homiletics Analysis: Numbers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36 is the final chapter of the book and functions as a legal appendix to the inheritance case raised in Numbers 27:1–11, where the daughters of Zelophehad successfully petitioned Moses for the right to inherit their father’s portion in Canaan since he died without male heirs. The tribal leaders of Manasseh now raise a follow-on concern: if these women marry outside their tribe, the land will transfer to another tribe’s inheritance and the original allotment will be permanently diminished. Moses — receiving God’s direct ruling — affirms the concern as legitimate and issues a binding decree: the daughters of Zelophehad (and by extension, all Israelite women who inherit tribal land) must marry within their own tribe. The chapter closes with the daughters of Zelophehad complying with this ruling and marrying their cousins within Manasseh, and with a summary statement that this became a standing ordinance in Israel. The book of Numbers closes on this note — not with conquest, not with doxology, but with the careful, legal ordering of an inheritance not yet possessed.</w:t>
      </w:r>
    </w:p>
    <w:p>
      <w:pPr>
        <w:pStyle w:val="BodyText"/>
      </w:pPr>
      <w:r>
        <w:rPr>
          <w:b/>
          <w:bCs/>
        </w:rPr>
        <w:t xml:space="preserve">This Text — Intent</w:t>
      </w:r>
    </w:p>
    <w:p>
      <w:pPr>
        <w:pStyle w:val="BodyText"/>
      </w:pPr>
      <w:r>
        <w:t xml:space="preserve">God is seeking to demonstrate, through this final legal ruling, that the inheritance He has promised is so certain, so real, and so carefully secured that its administration requires detailed legal structures</w:t>
      </w:r>
      <w:r>
        <w:t xml:space="preserve"> </w:t>
      </w:r>
      <w:r>
        <w:rPr>
          <w:i/>
          <w:iCs/>
        </w:rPr>
        <w:t xml:space="preserve">before a single acre has been occupied</w:t>
      </w:r>
      <w:r>
        <w:t xml:space="preserve">. The daughters of Zelophehad will receive their land. Manasseh will not lose its portion. The tribal boundaries will hold. What God has allocated, He will deliver — and the legal precision of this chapter is itself an act of covenant faithfulness, not bureaucratic tidiness. Israel stands at the edge of Canaan; Numbers closes with God ordering an inheritance as though it were already deeded. The intent is to produce a settled trust in the certainty of what God has promised.</w:t>
      </w:r>
    </w:p>
    <w:p>
      <w:r>
        <w:pict>
          <v:rect style="width:0;height:1.5pt" o:hralign="center" o:hrstd="t" o:hr="t"/>
        </w:pict>
      </w:r>
    </w:p>
    <w:p>
      <w:pPr>
        <w:pStyle w:val="FirstParagraph"/>
      </w:pPr>
      <w:r>
        <w:rPr>
          <w:b/>
          <w:bCs/>
        </w:rPr>
        <w:t xml:space="preserve">Subject Sentence:</w:t>
      </w:r>
      <w:r>
        <w:t xml:space="preserve"> </w:t>
      </w:r>
      <w:r>
        <w:t xml:space="preserve">God secures every tribe’s promised inheritance through covenant-ordered law before the land is possessed.</w:t>
      </w:r>
    </w:p>
    <w:p>
      <w:r>
        <w:pict>
          <v:rect style="width:0;height:1.5pt" o:hralign="center" o:hrstd="t" o:hr="t"/>
        </w:pict>
      </w:r>
    </w:p>
    <w:p>
      <w:pPr>
        <w:pStyle w:val="FirstParagraph"/>
      </w:pPr>
      <w:r>
        <w:rPr>
          <w:b/>
          <w:bCs/>
        </w:rPr>
        <w:t xml:space="preserve">Primary Claim:</w:t>
      </w:r>
      <w:r>
        <w:t xml:space="preserve"> </w:t>
      </w:r>
      <w:r>
        <w:t xml:space="preserve">God is demonstrating that His promised inheritance is so certain it requires legal stewardship now — calling His people to treat covenant promises as settled realities that shape present ordering, not distant hopes that await confirmation.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individual right and communal inheritance</w:t>
      </w:r>
    </w:p>
    <w:p>
      <w:pPr>
        <w:pStyle w:val="BodyText"/>
      </w:pPr>
      <w:r>
        <w:t xml:space="preserve">The tension in this chapter is between two legitimate, God-given principles: the individual inheritance right granted to Zelophehad’s daughters in Numbers 27, and the tribal integrity of the allotments established by divine sovereignty in Numbers 26 and 34–35. Some readers flatten this tension by privileging one side: individualist readings celebrate Numbers 27 as the climax and treat chapter 36 as a regrettable restriction on women’s freedom, while communitarian readings treat chapter 36 as a correction of the earlier ruling’s implications. Neither reading is accurate. The text presents both rulings as divine, both as valid, and the resolution as a reconciliation rather than a competition. The Reformed reading acknowledges that God’s law holds individual dignity and communal covenant order in a single, coherent system — neither swallows the other.</w:t>
      </w:r>
    </w:p>
    <w:p>
      <w:pPr>
        <w:pStyle w:val="BodyText"/>
      </w:pPr>
      <w:r>
        <w:rPr>
          <w:b/>
          <w:bCs/>
        </w:rPr>
        <w:t xml:space="preserve">Dispensational handling of the land inheritance</w:t>
      </w:r>
    </w:p>
    <w:p>
      <w:pPr>
        <w:pStyle w:val="BodyText"/>
      </w:pPr>
      <w:r>
        <w:t xml:space="preserve">Dispensational interpreters tend to read this chapter as applying exclusively to national Israel in its theocratic land-tenure arrangement, with no direct theological carry-over for the church. This reading rightly resists allegorizing the specific legal content (tribe, land, marriage law), but it underweights the typological and theological weight the land inheritance carries across the canon. The Reformed reading acknowledges the historical particularity of Israel’s tribal land law while pressing through it to the theological reality the land symbolizes: an inheritance secured by covenant oath, guarded by God’s sovereign administration, received by those in covenant relationship with Him. Hebrews 11:8–16 and 1 Peter 1:3–5 explicitly invoke the inheritance language in precisely this direction, and they do so with an awareness that the earthly inheritance was always a type of the heavenly.</w:t>
      </w:r>
    </w:p>
    <w:p>
      <w:pPr>
        <w:pStyle w:val="BodyText"/>
      </w:pPr>
      <w:r>
        <w:rPr>
          <w:b/>
          <w:bCs/>
        </w:rPr>
        <w:t xml:space="preserve">The chapter as a</w:t>
      </w:r>
      <w:r>
        <w:rPr>
          <w:b/>
          <w:bCs/>
        </w:rPr>
        <w:t xml:space="preserve"> </w:t>
      </w:r>
      <w:r>
        <w:rPr>
          <w:b/>
          <w:bCs/>
        </w:rPr>
        <w:t xml:space="preserve">“mere legal postscript”</w:t>
      </w:r>
    </w:p>
    <w:p>
      <w:pPr>
        <w:pStyle w:val="BodyText"/>
      </w:pPr>
      <w:r>
        <w:t xml:space="preserve">A common homiletical mistake — not an alternative hermeneutical tradition but a widespread practical error — is to treat this chapter as exegetically thin: a tidying-up passage with little to preach. This misses the theological weight carried by the chapter’s</w:t>
      </w:r>
      <w:r>
        <w:t xml:space="preserve"> </w:t>
      </w:r>
      <w:r>
        <w:rPr>
          <w:i/>
          <w:iCs/>
        </w:rPr>
        <w:t xml:space="preserve">placement</w:t>
      </w:r>
      <w:r>
        <w:t xml:space="preserve">. Numbers closes here. The editorial decision to end the book with this scene — Israel on the plains of Moab, holding legal documents for land they cannot yet touch — is theologically significant. The closing summary (</w:t>
      </w:r>
      <w:r>
        <w:t xml:space="preserve">“these are the commandments and the rules that the LORD commanded through Moses to the people of Israel in the plains of Moab by the Jordan at Jericho,”</w:t>
      </w:r>
      <w:r>
        <w:t xml:space="preserve"> </w:t>
      </w:r>
      <w:r>
        <w:t xml:space="preserve">v. 13) does not feel anticlimactic to a community that has been dying in the wilderness for forty years. It feels like dawn. The Reformed reading takes the canonical placement seriously as a theological statement about the certainty of God’s promises.</w:t>
      </w:r>
    </w:p>
    <w:p>
      <w:pPr>
        <w:pStyle w:val="BodyText"/>
      </w:pPr>
      <w:r>
        <w:rPr>
          <w:b/>
          <w:bCs/>
        </w:rPr>
        <w:t xml:space="preserve">No significant controversy on the ruling’s content</w:t>
      </w:r>
    </w:p>
    <w:p>
      <w:pPr>
        <w:pStyle w:val="BodyText"/>
      </w:pPr>
      <w:r>
        <w:t xml:space="preserve">There is no significant cross-traditional dispute about what the passage says or what the ruling requires. The interpretive issues are primarily about weight, application, and canonical significance rather than competing readings of the text’s plain meaning.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27:1–11</w:t>
      </w:r>
      <w:r>
        <w:t xml:space="preserve"> </w:t>
      </w:r>
      <w:r>
        <w:t xml:space="preserve">— The foundational case; God’s ruling establishing daughters’ inheritance rights; chapter 36 cannot be read without this prior ruling, which it extends and refines rather than revokes.</w:t>
      </w:r>
    </w:p>
    <w:p>
      <w:pPr>
        <w:numPr>
          <w:ilvl w:val="0"/>
          <w:numId w:val="1001"/>
        </w:numPr>
      </w:pPr>
      <w:r>
        <w:rPr>
          <w:b/>
          <w:bCs/>
        </w:rPr>
        <w:t xml:space="preserve">Joshua 17:3–6</w:t>
      </w:r>
      <w:r>
        <w:t xml:space="preserve"> </w:t>
      </w:r>
      <w:r>
        <w:t xml:space="preserve">— Zelophehad’s daughters appear again at the actual distribution of the land, presenting their case to Eleazar and Joshua; God’s ruling holds across the leadership transition and is honored in the actual possession — the promised inheritance is real and their names are in it.</w:t>
      </w:r>
    </w:p>
    <w:p>
      <w:pPr>
        <w:numPr>
          <w:ilvl w:val="0"/>
          <w:numId w:val="1001"/>
        </w:numPr>
      </w:pPr>
      <w:r>
        <w:rPr>
          <w:b/>
          <w:bCs/>
        </w:rPr>
        <w:t xml:space="preserve">1 Peter 1:3–5</w:t>
      </w:r>
      <w:r>
        <w:t xml:space="preserve"> </w:t>
      </w:r>
      <w:r>
        <w:t xml:space="preserve">— Peter describes the believer’s inheritance as</w:t>
      </w:r>
      <w:r>
        <w:t xml:space="preserve"> </w:t>
      </w:r>
      <w:r>
        <w:t xml:space="preserve">“imperishable, undefiled, and unfading, kept in heaven for you, who by God’s power are being guarded through faith for a salvation ready to be revealed”</w:t>
      </w:r>
      <w:r>
        <w:t xml:space="preserve"> </w:t>
      </w:r>
      <w:r>
        <w:t xml:space="preserve">— the same logic as Numbers 36: an inheritance so certain it is already being legally secured before possession.</w:t>
      </w:r>
    </w:p>
    <w:p>
      <w:pPr>
        <w:numPr>
          <w:ilvl w:val="0"/>
          <w:numId w:val="1001"/>
        </w:numPr>
      </w:pPr>
      <w:r>
        <w:rPr>
          <w:b/>
          <w:bCs/>
        </w:rPr>
        <w:t xml:space="preserve">Hebrews 11:8–16</w:t>
      </w:r>
      <w:r>
        <w:t xml:space="preserve"> </w:t>
      </w:r>
      <w:r>
        <w:t xml:space="preserve">— The patriarchs and their descendants held the land promise as a</w:t>
      </w:r>
      <w:r>
        <w:t xml:space="preserve"> </w:t>
      </w:r>
      <w:r>
        <w:t xml:space="preserve">“better country, that is, a heavenly one”</w:t>
      </w:r>
      <w:r>
        <w:t xml:space="preserve">; they treated the promise as real enough to order their lives around before receiving it — precisely the disposition Numbers 36 models structurally.</w:t>
      </w:r>
    </w:p>
    <w:p>
      <w:pPr>
        <w:numPr>
          <w:ilvl w:val="0"/>
          <w:numId w:val="1001"/>
        </w:numPr>
      </w:pPr>
      <w:r>
        <w:rPr>
          <w:b/>
          <w:bCs/>
        </w:rPr>
        <w:t xml:space="preserve">Ephesians 1:13–14</w:t>
      </w:r>
      <w:r>
        <w:t xml:space="preserve"> </w:t>
      </w:r>
      <w:r>
        <w:t xml:space="preserve">— The Holy Spirit as the</w:t>
      </w:r>
      <w:r>
        <w:t xml:space="preserve"> </w:t>
      </w:r>
      <w:r>
        <w:t xml:space="preserve">“guarantee of our inheritance until we acquire possession of it”</w:t>
      </w:r>
      <w:r>
        <w:t xml:space="preserve"> </w:t>
      </w:r>
      <w:r>
        <w:t xml:space="preserve">— God’s present securing of what has not yet been fully received; the same dynamic as the legal ordinances of Numbers 36 functioning as present structures for a future possession.</w:t>
      </w:r>
    </w:p>
    <w:p>
      <w:r>
        <w:pict>
          <v:rect style="width:0;height:1.5pt" o:hralign="center" o:hrstd="t" o:hr="t"/>
        </w:pict>
      </w:r>
    </w:p>
    <w:p>
      <w:pPr>
        <w:pStyle w:val="FirstParagraph"/>
      </w:pPr>
      <w:r>
        <w:rPr>
          <w:b/>
          <w:bCs/>
        </w:rPr>
        <w:t xml:space="preserve">Aim:</w:t>
      </w:r>
      <w:r>
        <w:t xml:space="preserve"> </w:t>
      </w:r>
      <w:r>
        <w:t xml:space="preserve">To show that the legal precision of Numbers 36 is itself a form of covenant faithfulness, and to call the reader to treat God’s promised inheritance as certain enough to order present life around.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heads of the fathers’ houses of Manasseh (Gilead’s clan) approach Moses with a legal concern</w:t>
            </w:r>
          </w:p>
        </w:tc>
        <w:tc>
          <w:tcPr/>
          <w:p>
            <w:pPr>
              <w:pStyle w:val="Compact"/>
            </w:pPr>
            <w:r>
              <w:t xml:space="preserve">Same tribal leadership as Num. 27; the case remains within its original tribal context</w:t>
            </w:r>
          </w:p>
        </w:tc>
      </w:tr>
      <w:tr>
        <w:tc>
          <w:tcPr/>
          <w:p>
            <w:pPr>
              <w:pStyle w:val="Compact"/>
            </w:pPr>
            <w:r>
              <w:t xml:space="preserve">2</w:t>
            </w:r>
          </w:p>
        </w:tc>
        <w:tc>
          <w:tcPr/>
          <w:p>
            <w:pPr>
              <w:pStyle w:val="Compact"/>
            </w:pPr>
            <w:r>
              <w:t xml:space="preserve">They restate God’s prior ruling: the land is to be distributed by lot, and the LORD commanded that Zelophehad’s daughters receive their father’s inheritance</w:t>
            </w:r>
          </w:p>
        </w:tc>
        <w:tc>
          <w:tcPr/>
          <w:p>
            <w:pPr>
              <w:pStyle w:val="Compact"/>
            </w:pPr>
            <w:r>
              <w:t xml:space="preserve">Demonstrates continuity — they are not disputing the prior ruling but seeking its consistent application</w:t>
            </w:r>
          </w:p>
        </w:tc>
      </w:tr>
      <w:tr>
        <w:tc>
          <w:tcPr/>
          <w:p>
            <w:pPr>
              <w:pStyle w:val="Compact"/>
            </w:pPr>
            <w:r>
              <w:t xml:space="preserve">3</w:t>
            </w:r>
          </w:p>
        </w:tc>
        <w:tc>
          <w:tcPr/>
          <w:p>
            <w:pPr>
              <w:pStyle w:val="Compact"/>
            </w:pPr>
            <w:r>
              <w:t xml:space="preserve">The concern: if these women marry into another tribe, their inheritance will follow them and be permanently removed from Manasseh’s allotment</w:t>
            </w:r>
          </w:p>
        </w:tc>
        <w:tc>
          <w:tcPr/>
          <w:p>
            <w:pPr>
              <w:pStyle w:val="Compact"/>
            </w:pPr>
            <w:r>
              <w:t xml:space="preserve">The Jubilee year would not restore it, since it belongs to the new tribe</w:t>
            </w:r>
          </w:p>
        </w:tc>
      </w:tr>
      <w:tr>
        <w:tc>
          <w:tcPr/>
          <w:p>
            <w:pPr>
              <w:pStyle w:val="Compact"/>
            </w:pPr>
            <w:r>
              <w:t xml:space="preserve">4</w:t>
            </w:r>
          </w:p>
        </w:tc>
        <w:tc>
          <w:tcPr/>
          <w:p>
            <w:pPr>
              <w:pStyle w:val="Compact"/>
            </w:pPr>
            <w:r>
              <w:t xml:space="preserve">Further specification: even the Year of Jubilee (Lev. 25) would not return the land, since it would belong to the husband’s tribe</w:t>
            </w:r>
          </w:p>
        </w:tc>
        <w:tc>
          <w:tcPr/>
          <w:p>
            <w:pPr>
              <w:pStyle w:val="Compact"/>
            </w:pPr>
            <w:r>
              <w:t xml:space="preserve">This is a sophisticated legal concern; they have thought through the Jubilee provision</w:t>
            </w:r>
          </w:p>
        </w:tc>
      </w:tr>
      <w:tr>
        <w:tc>
          <w:tcPr/>
          <w:p>
            <w:pPr>
              <w:pStyle w:val="Compact"/>
            </w:pPr>
            <w:r>
              <w:t xml:space="preserve">5–6</w:t>
            </w:r>
          </w:p>
        </w:tc>
        <w:tc>
          <w:tcPr/>
          <w:p>
            <w:pPr>
              <w:pStyle w:val="Compact"/>
            </w:pPr>
            <w:r>
              <w:t xml:space="preserve">Moses delivers God’s ruling: the concern is right; the daughters must marry within their own tribe</w:t>
            </w:r>
          </w:p>
        </w:tc>
        <w:tc>
          <w:tcPr/>
          <w:p>
            <w:pPr>
              <w:pStyle w:val="Compact"/>
            </w:pPr>
            <w:r>
              <w:t xml:space="preserve">The ruling is explicitly attributed to God (</w:t>
            </w:r>
            <w:r>
              <w:t xml:space="preserve">“the LORD commands”</w:t>
            </w:r>
            <w:r>
              <w:t xml:space="preserve">)</w:t>
            </w:r>
          </w:p>
        </w:tc>
      </w:tr>
      <w:tr>
        <w:tc>
          <w:tcPr/>
          <w:p>
            <w:pPr>
              <w:pStyle w:val="Compact"/>
            </w:pPr>
            <w:r>
              <w:t xml:space="preserve">7</w:t>
            </w:r>
          </w:p>
        </w:tc>
        <w:tc>
          <w:tcPr/>
          <w:p>
            <w:pPr>
              <w:pStyle w:val="Compact"/>
            </w:pPr>
            <w:r>
              <w:t xml:space="preserve">The principle stated: no inheritance shall transfer from one tribe to another; every Israelite shall hold to the inheritance of his own tribe</w:t>
            </w:r>
          </w:p>
        </w:tc>
        <w:tc>
          <w:tcPr/>
          <w:p>
            <w:pPr>
              <w:pStyle w:val="Compact"/>
            </w:pPr>
            <w:r>
              <w:t xml:space="preserve">This is the governing principle behind the specific ruling</w:t>
            </w:r>
          </w:p>
        </w:tc>
      </w:tr>
      <w:tr>
        <w:tc>
          <w:tcPr/>
          <w:p>
            <w:pPr>
              <w:pStyle w:val="Compact"/>
            </w:pPr>
            <w:r>
              <w:t xml:space="preserve">8</w:t>
            </w:r>
          </w:p>
        </w:tc>
        <w:tc>
          <w:tcPr/>
          <w:p>
            <w:pPr>
              <w:pStyle w:val="Compact"/>
            </w:pPr>
            <w:r>
              <w:t xml:space="preserve">Every daughter who possesses an inheritance in any tribe must marry within her father’s tribe</w:t>
            </w:r>
          </w:p>
        </w:tc>
        <w:tc>
          <w:tcPr/>
          <w:p>
            <w:pPr>
              <w:pStyle w:val="Compact"/>
            </w:pPr>
            <w:r>
              <w:t xml:space="preserve">Extended to all such cases, not limited to Zelophehad’s daughters alone</w:t>
            </w:r>
          </w:p>
        </w:tc>
      </w:tr>
      <w:tr>
        <w:tc>
          <w:tcPr/>
          <w:p>
            <w:pPr>
              <w:pStyle w:val="Compact"/>
            </w:pPr>
            <w:r>
              <w:t xml:space="preserve">9</w:t>
            </w:r>
          </w:p>
        </w:tc>
        <w:tc>
          <w:tcPr/>
          <w:p>
            <w:pPr>
              <w:pStyle w:val="Compact"/>
            </w:pPr>
            <w:r>
              <w:t xml:space="preserve">Restatement of principle: no inheritance shall transfer from one tribe to another</w:t>
            </w:r>
          </w:p>
        </w:tc>
        <w:tc>
          <w:tcPr/>
          <w:p>
            <w:pPr>
              <w:pStyle w:val="Compact"/>
            </w:pPr>
            <w:r>
              <w:t xml:space="preserve">The double statement (vv. 7 and 9) signals the ruling’s binding, foundational character</w:t>
            </w:r>
          </w:p>
        </w:tc>
      </w:tr>
      <w:tr>
        <w:tc>
          <w:tcPr/>
          <w:p>
            <w:pPr>
              <w:pStyle w:val="Compact"/>
            </w:pPr>
            <w:r>
              <w:t xml:space="preserve">10–12</w:t>
            </w:r>
          </w:p>
        </w:tc>
        <w:tc>
          <w:tcPr/>
          <w:p>
            <w:pPr>
              <w:pStyle w:val="Compact"/>
            </w:pPr>
            <w:r>
              <w:t xml:space="preserve">Zelophehad’s daughters comply: Mahlah, Tirzah, Hoglah, Milcah, and Noah marry their cousins within Manasseh; their inheritance remains in their father’s tribe</w:t>
            </w:r>
          </w:p>
        </w:tc>
        <w:tc>
          <w:tcPr/>
          <w:p>
            <w:pPr>
              <w:pStyle w:val="Compact"/>
            </w:pPr>
            <w:r>
              <w:t xml:space="preserve">The daughters are named individually — they are persons, not merely legal cases; compliance is explicit and honorable</w:t>
            </w:r>
          </w:p>
        </w:tc>
      </w:tr>
      <w:tr>
        <w:tc>
          <w:tcPr/>
          <w:p>
            <w:pPr>
              <w:pStyle w:val="Compact"/>
            </w:pPr>
            <w:r>
              <w:t xml:space="preserve">13</w:t>
            </w:r>
          </w:p>
        </w:tc>
        <w:tc>
          <w:tcPr/>
          <w:p>
            <w:pPr>
              <w:pStyle w:val="Compact"/>
            </w:pPr>
            <w:r>
              <w:t xml:space="preserve">Closing summary: these commandments and rules were given by the LORD through Moses on the plains of Moab by the Jordan at Jericho</w:t>
            </w:r>
          </w:p>
        </w:tc>
        <w:tc>
          <w:tcPr/>
          <w:p>
            <w:pPr>
              <w:pStyle w:val="Compact"/>
            </w:pPr>
            <w:r>
              <w:t xml:space="preserve">Canonical capstone for the entire legal section of Numbers and for the book as a whole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Concern: A Legitimate Legal Problem Raised by Manasseh’s Leaders</w:t>
            </w:r>
          </w:p>
        </w:tc>
      </w:tr>
      <w:tr>
        <w:tc>
          <w:tcPr/>
          <w:p>
            <w:pPr>
              <w:pStyle w:val="Compact"/>
            </w:pPr>
            <w:r>
              <w:t xml:space="preserve">2</w:t>
            </w:r>
          </w:p>
        </w:tc>
        <w:tc>
          <w:tcPr/>
          <w:p>
            <w:pPr>
              <w:pStyle w:val="Compact"/>
            </w:pPr>
            <w:r>
              <w:t xml:space="preserve">5–9</w:t>
            </w:r>
          </w:p>
        </w:tc>
        <w:tc>
          <w:tcPr/>
          <w:p>
            <w:pPr>
              <w:pStyle w:val="Compact"/>
            </w:pPr>
            <w:r>
              <w:t xml:space="preserve">The Ruling: God Reconciles Individual Inheritance with Tribal Integrity</w:t>
            </w:r>
          </w:p>
        </w:tc>
      </w:tr>
      <w:tr>
        <w:tc>
          <w:tcPr/>
          <w:p>
            <w:pPr>
              <w:pStyle w:val="Compact"/>
            </w:pPr>
            <w:r>
              <w:t xml:space="preserve">3</w:t>
            </w:r>
          </w:p>
        </w:tc>
        <w:tc>
          <w:tcPr/>
          <w:p>
            <w:pPr>
              <w:pStyle w:val="Compact"/>
            </w:pPr>
            <w:r>
              <w:t xml:space="preserve">10–12</w:t>
            </w:r>
          </w:p>
        </w:tc>
        <w:tc>
          <w:tcPr/>
          <w:p>
            <w:pPr>
              <w:pStyle w:val="Compact"/>
            </w:pPr>
            <w:r>
              <w:t xml:space="preserve">The Compliance: Zelophehad’s Daughters Act on the Ruling with Honor</w:t>
            </w:r>
          </w:p>
        </w:tc>
      </w:tr>
      <w:tr>
        <w:tc>
          <w:tcPr/>
          <w:p>
            <w:pPr>
              <w:pStyle w:val="Compact"/>
            </w:pPr>
            <w:r>
              <w:t xml:space="preserve">4</w:t>
            </w:r>
          </w:p>
        </w:tc>
        <w:tc>
          <w:tcPr/>
          <w:p>
            <w:pPr>
              <w:pStyle w:val="Compact"/>
            </w:pPr>
            <w:r>
              <w:t xml:space="preserve">13</w:t>
            </w:r>
          </w:p>
        </w:tc>
        <w:tc>
          <w:tcPr/>
          <w:p>
            <w:pPr>
              <w:pStyle w:val="Compact"/>
            </w:pPr>
            <w:r>
              <w:t xml:space="preserve">The Capstone: God’s Ordered Law as the Closing Word of Numbers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secures every tribe’s promised inheritance through covenant-ordered law before the land is possessed.</w:t>
      </w:r>
    </w:p>
    <w:p>
      <w:pPr>
        <w:pStyle w:val="BodyText"/>
      </w:pPr>
      <w:r>
        <w:rPr>
          <w:b/>
          <w:bCs/>
        </w:rPr>
        <w:t xml:space="preserve">Primary Claim:</w:t>
      </w:r>
      <w:r>
        <w:t xml:space="preserve"> </w:t>
      </w:r>
      <w:r>
        <w:t xml:space="preserve">God is demonstrating that His promised inheritance is so certain it requires legal stewardship now — calling His people to treat covenant promises as settled realities that shape present ordering, not distant hopes that await confirmation.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legal precision of this chapter is not bureaucratic clutter — it is a form of worship. Israel’s leaders are treating God’s promise as so real that it requires careful administration before a single Israelite has crossed the Jordan. The application is direct: the believer who handles earthly responsibilities — estate planning, financial ordering, the care of what has been entrusted — with reference to God’s covenant promises is not distracted from spiritual things but is practicing a form of covenant faithfulness that honors the reality of what God has said. Treat the things God has given you as genuinely given — which means they require stewardship, not merely gratitude.</w:t>
      </w:r>
      <w:r>
        <w:t xml:space="preserve"> </w:t>
      </w:r>
      <w:r>
        <w:rPr>
          <w:i/>
          <w:iCs/>
        </w:rPr>
        <w:t xml:space="preserve">(Mind/belief)</w:t>
      </w:r>
    </w:p>
    <w:p>
      <w:pPr>
        <w:pStyle w:val="BodyText"/>
      </w:pPr>
      <w:r>
        <w:rPr>
          <w:b/>
          <w:bCs/>
        </w:rPr>
        <w:t xml:space="preserve">2.</w:t>
      </w:r>
      <w:r>
        <w:t xml:space="preserve"> </w:t>
      </w:r>
      <w:r>
        <w:t xml:space="preserve">The daughters of Zelophehad are named five times across Numbers (26:33; 27:1; 36:10–11; Joshua 17:3). They are not absorbed into a legal category — they are persons whose names are known, whose inheritance is specific, and whose compliance is recorded with honor. The God who issues the ruling in Numbers 36 is the same God who knows His people by name and has assigned each one a specific inheritance, not a generic share of an undifferentiated blessing. Receive the particularity of God’s provision for you — not</w:t>
      </w:r>
      <w:r>
        <w:t xml:space="preserve"> </w:t>
      </w:r>
      <w:r>
        <w:t xml:space="preserve">“God provides”</w:t>
      </w:r>
      <w:r>
        <w:t xml:space="preserve"> </w:t>
      </w:r>
      <w:r>
        <w:t xml:space="preserve">in the abstract, but</w:t>
      </w:r>
      <w:r>
        <w:t xml:space="preserve"> </w:t>
      </w:r>
      <w:r>
        <w:t xml:space="preserve">“God has provided</w:t>
      </w:r>
      <w:r>
        <w:t xml:space="preserve"> </w:t>
      </w:r>
      <w:r>
        <w:rPr>
          <w:i/>
          <w:iCs/>
        </w:rPr>
        <w:t xml:space="preserve">this</w:t>
      </w:r>
      <w:r>
        <w:t xml:space="preserve">, for</w:t>
      </w:r>
      <w:r>
        <w:t xml:space="preserve"> </w:t>
      </w:r>
      <w:r>
        <w:rPr>
          <w:i/>
          <w:iCs/>
        </w:rPr>
        <w:t xml:space="preserve">you</w:t>
      </w:r>
      <w:r>
        <w:t xml:space="preserve">, and your name is in it.”</w:t>
      </w:r>
      <w:r>
        <w:t xml:space="preserve"> </w:t>
      </w:r>
      <w:r>
        <w:rPr>
          <w:i/>
          <w:iCs/>
        </w:rPr>
        <w:t xml:space="preserve">(Affections/worship)</w:t>
      </w:r>
    </w:p>
    <w:p>
      <w:pPr>
        <w:pStyle w:val="BodyText"/>
      </w:pPr>
      <w:r>
        <w:rPr>
          <w:b/>
          <w:bCs/>
        </w:rPr>
        <w:t xml:space="preserve">3.</w:t>
      </w:r>
      <w:r>
        <w:t xml:space="preserve"> </w:t>
      </w:r>
      <w:r>
        <w:t xml:space="preserve">Manasseh’s leaders bring a legitimate concern, and God does not dismiss it as faithless worry. He addresses it with a ruling. This is the pattern for how God’s people handle tensions between valid competing goods: bring it to God’s Word, reason from it carefully, and receive the resolution God provides — rather than either suppressing the concern or allowing it to fracture the community. When real tensions arise between individual freedom and communal good in the church, the answer is not to ignore one side or to declare one side always dominant, but to press into Scripture for the reconciling wisdom God has already provided.</w:t>
      </w:r>
      <w:r>
        <w:t xml:space="preserve"> </w:t>
      </w:r>
      <w:r>
        <w:rPr>
          <w:i/>
          <w:iCs/>
        </w:rPr>
        <w:t xml:space="preserve">(Will/behavior)</w:t>
      </w:r>
    </w:p>
    <w:p>
      <w:pPr>
        <w:pStyle w:val="BodyText"/>
      </w:pPr>
      <w:r>
        <w:rPr>
          <w:b/>
          <w:bCs/>
        </w:rPr>
        <w:t xml:space="preserve">4.</w:t>
      </w:r>
      <w:r>
        <w:t xml:space="preserve"> </w:t>
      </w:r>
      <w:r>
        <w:t xml:space="preserve">Numbers ends with Israel still on the east bank of the Jordan. They have not yet entered the land. And yet the final words of the book are legal ordinances for the administration of an inheritance they have not yet touched. This is the posture of faith: ordering your life as though what God has promised is already as good as received — not because you are presumptuous, but because God’s word is more certain than any present circumstance. The believer with an eternal inheritance in Christ (1 Pet. 1:3–5) is called to live now in light of what is already sealed and kept — to make present decisions with reference to a future that is more real than what is visible. What would change in your daily ordering if you treated your inheritance in Christ the way Israel treated the land — as something already yours that requires present stewardship?</w:t>
      </w:r>
      <w:r>
        <w:t xml:space="preserve"> </w:t>
      </w:r>
      <w:r>
        <w:rPr>
          <w:i/>
          <w:iCs/>
        </w:rPr>
        <w:t xml:space="preserve">(Mind/belief)</w:t>
      </w:r>
    </w:p>
    <w:p>
      <w:pPr>
        <w:pStyle w:val="BodyText"/>
      </w:pPr>
      <w:r>
        <w:rPr>
          <w:b/>
          <w:bCs/>
        </w:rPr>
        <w:t xml:space="preserve">5.</w:t>
      </w:r>
      <w:r>
        <w:t xml:space="preserve"> </w:t>
      </w:r>
      <w:r>
        <w:t xml:space="preserve">The daughters comply without recorded protest. They have received a genuine right (Numbers 27), they now receive a genuine constraint (Numbers 36), and they honor both as coming from the same God. This is mature covenant living: holding personal inheritance and communal obligation together, neither resenting the constraint as a revocation of the blessing nor treating the individual right as absolute. The application for the believer is formation toward precisely this integration — receiving what God gives with gratitude, receiving what God requires with the same gratitude, and trusting that both the gift and the fence around it come from the same faithful hand.</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36 teaches that God’s sovereignty over covenant inheritance extends to its legal structure and administration, not merely its initial bestowal. The God who allots the land by divine lot (Numbers 26) is the same God who issues the ordinance protecting tribal boundaries before possession. This establishes a crucial theological principle: God’s gifts are real enough to require responsible ordering, and that ordering is itself an expression of covenant faithfulness rather than a distraction from it. The passage also demonstrates that God’s law is coherent — capable of honoring individual dignity (Numbers 27) and communal integrity (Numbers 36) simultaneously, without the resolution of one requiring the sacrifice of the other. Finally, the chapter’s placement as the closing word of Numbers reinforces that God’s promises are so certain that their administration precedes their fulfillment — the inheritance is secure before it is received.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within Reformed theology as a demonstration of God’s sovereign administration of covenant promise — what will later be articulated as the security of election and inheritance. Just as Manasseh’s leaders can trust that God’s ruling will protect their allotment because God Himself has defined and will defend those boundaries, so the believer’s inheritance in Christ is guarded not by personal merit or sustained spiritual performance but by God’s own covenant ordering. The Spirit as</w:t>
      </w:r>
      <w:r>
        <w:t xml:space="preserve"> </w:t>
      </w:r>
      <w:r>
        <w:t xml:space="preserve">“guarantee of our inheritance”</w:t>
      </w:r>
      <w:r>
        <w:t xml:space="preserve"> </w:t>
      </w:r>
      <w:r>
        <w:t xml:space="preserve">(Eph. 1:13–14) is the New Covenant fulfillment of the same logic: God securing in the present what will be fully received in the future. Reformed theology’s insistence on the perseverance of the saints is not finally a statement about human faithfulness but about the divine faithfulness that holds the inheritance intact — which is precisely what Numbers 36 pictures. The chapter also illustrates the Reformed understanding of law as a gift: the ordinance of verse 8 is not an imposition on the daughters but a protection of their inheritance and of Israel’s covenant integrity. Law in the service of grace is characteristic of the entire Mosaic covenant within its proper typological frame.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inheritance in Christ is not a hope that might materialize — it is a deed that has already been written, signed, and secured by God Himself. Numbers 36 closes an entire book with Israel standing outside the land, holding legal documents for what they cannot yet touch — because the promise is that certain. Live accordingly. Stop treating your eternal inheritance as a distant possibility and start ordering your present life as one who already knows where they are going and who has guaranteed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exegetically thin or skippable.</w:t>
      </w:r>
      <w:r>
        <w:t xml:space="preserve"> </w:t>
      </w:r>
      <w:r>
        <w:t xml:space="preserve">The most common mishandling of Numbers 36 is simply not preaching it, or preaching it apologetically as a</w:t>
      </w:r>
      <w:r>
        <w:t xml:space="preserve"> </w:t>
      </w:r>
      <w:r>
        <w:t xml:space="preserve">“we have to finish the book”</w:t>
      </w:r>
      <w:r>
        <w:t xml:space="preserve"> </w:t>
      </w:r>
      <w:r>
        <w:t xml:space="preserve">obligation. This fails to reckon with the chapter’s canonical placement as the deliberate closing word of Numbers — a theological statement, not an administrative leftover. Preach it as what it is: God’s final word in this book, chosen to be about the certainty of His promises.</w:t>
      </w:r>
    </w:p>
    <w:p>
      <w:pPr>
        <w:numPr>
          <w:ilvl w:val="0"/>
          <w:numId w:val="1002"/>
        </w:numPr>
      </w:pPr>
      <w:r>
        <w:rPr>
          <w:b/>
          <w:bCs/>
        </w:rPr>
        <w:t xml:space="preserve">Reading the ruling as a restriction on women that contradicts Numbers 27.</w:t>
      </w:r>
      <w:r>
        <w:t xml:space="preserve"> </w:t>
      </w:r>
      <w:r>
        <w:t xml:space="preserve">Some readers treat chapter 36 as dialing back the progressive step of Numbers 27, or as a patriarchal correction of an egalitarian ruling. This misreads both chapters. Numbers 27 and Numbers 36 are not in tension — they are two rulings from the same God addressing two different but equally legitimate concerns. The marriage restriction applies to all inheriting daughters, is presented as divine rather than merely tribal, and the daughters’ compliance is recorded honorably. Neither chapter is a concession; both are expressions of God’s ordering.</w:t>
      </w:r>
    </w:p>
    <w:p>
      <w:pPr>
        <w:numPr>
          <w:ilvl w:val="0"/>
          <w:numId w:val="1002"/>
        </w:numPr>
      </w:pPr>
      <w:r>
        <w:rPr>
          <w:b/>
          <w:bCs/>
        </w:rPr>
        <w:t xml:space="preserve">Spiritualizing away the land entirely.</w:t>
      </w:r>
      <w:r>
        <w:t xml:space="preserve"> </w:t>
      </w:r>
      <w:r>
        <w:t xml:space="preserve">In the eagerness to move to New Testament application (our inheritance in Christ), preachers sometimes fail to let the passage do its own work in its own idiom. The land is real, the legal case is real, the tribal boundaries are real — and the theological weight depends on that reality. The move to 1 Peter 1 or Ephesians 1 is legitimate and important, but only after the passage has been allowed to make its own claim in its historical particularity. The type has to be a real type before it can point to its antitype.</w:t>
      </w:r>
    </w:p>
    <w:p>
      <w:pPr>
        <w:numPr>
          <w:ilvl w:val="0"/>
          <w:numId w:val="1002"/>
        </w:numPr>
      </w:pPr>
      <w:r>
        <w:rPr>
          <w:b/>
          <w:bCs/>
        </w:rPr>
        <w:t xml:space="preserve">Preaching the daughters of Zelophehad as moral examples of compliance or courage without grounding the application in the covenant context.</w:t>
      </w:r>
      <w:r>
        <w:t xml:space="preserve"> </w:t>
      </w:r>
      <w:r>
        <w:t xml:space="preserve">The daughters are admirable figures, and their compliance is explicitly noted. But preaching that lands primarily on</w:t>
      </w:r>
      <w:r>
        <w:t xml:space="preserve"> </w:t>
      </w:r>
      <w:r>
        <w:t xml:space="preserve">“be like the daughters — comply honorably with God’s Word”</w:t>
      </w:r>
      <w:r>
        <w:t xml:space="preserve"> </w:t>
      </w:r>
      <w:r>
        <w:t xml:space="preserve">has reduced a covenant-inheritance passage to a character lesson. The daughters’ compliance matters because of</w:t>
      </w:r>
      <w:r>
        <w:t xml:space="preserve"> </w:t>
      </w:r>
      <w:r>
        <w:rPr>
          <w:i/>
          <w:iCs/>
        </w:rPr>
        <w:t xml:space="preserve">what they are complying with</w:t>
      </w:r>
      <w:r>
        <w:t xml:space="preserve"> </w:t>
      </w:r>
      <w:r>
        <w:t xml:space="preserve">— a ruling about a real inheritance from a faithful God. Ground the behavioral application in the theological reality, not in the admirable example alone.</w:t>
      </w:r>
    </w:p>
    <w:p>
      <w:pPr>
        <w:numPr>
          <w:ilvl w:val="0"/>
          <w:numId w:val="1002"/>
        </w:numPr>
      </w:pPr>
      <w:r>
        <w:rPr>
          <w:b/>
          <w:bCs/>
        </w:rPr>
        <w:t xml:space="preserve">Missing the Jubilee detail and its theological weight (vv. 3–4).</w:t>
      </w:r>
      <w:r>
        <w:t xml:space="preserve"> </w:t>
      </w:r>
      <w:r>
        <w:t xml:space="preserve">Manasseh’s leaders note that even the Year of Jubilee would not return the land once it passed to another tribe through marriage. This is not a throwaway legal nuance — it reveals that the concern is genuinely irreversible under existing law, and that God’s ruling in response is therefore genuinely protective rather than merely conventional. Preachers who skim the legal argument miss the reason the ruling is necessary, which is the same reason the application is weighty.</w:t>
      </w:r>
    </w:p>
    <w:p>
      <w:pPr>
        <w:numPr>
          <w:ilvl w:val="0"/>
          <w:numId w:val="1002"/>
        </w:numPr>
      </w:pPr>
      <w:r>
        <w:rPr>
          <w:b/>
          <w:bCs/>
        </w:rPr>
        <w:t xml:space="preserve">Failing to preach the closing summary (v. 13) as a canonical statement.</w:t>
      </w:r>
      <w:r>
        <w:t xml:space="preserve"> </w:t>
      </w:r>
      <w:r>
        <w:t xml:space="preserve">Verse 13 is the closing verse of Numbers. Its language (</w:t>
      </w:r>
      <w:r>
        <w:t xml:space="preserve">“commandments and rules,”</w:t>
      </w:r>
      <w:r>
        <w:t xml:space="preserve"> </w:t>
      </w:r>
      <w:r>
        <w:t xml:space="preserve">“plains of Moab,”</w:t>
      </w:r>
      <w:r>
        <w:t xml:space="preserve"> </w:t>
      </w:r>
      <w:r>
        <w:t xml:space="preserve">“by the Jordan at Jericho”</w:t>
      </w:r>
      <w:r>
        <w:t xml:space="preserve">) is a deliberate canonical capstone, not a scribal colophon. To treat it as a postscript is to miss that the entire book ends with law given on the threshold of promise — which is itself a theological claim about the relationship between God’s ordering Word and His covenant faithfulness.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2026-07-14T21:01:59Z</dcterms:created>
  <dcterms:modified xsi:type="dcterms:W3CDTF">2026-07-14T21:01:59Z</dcterms:modified>
</cp:coreProperties>
</file>

<file path=docProps/custom.xml><?xml version="1.0" encoding="utf-8"?>
<Properties xmlns="http://schemas.openxmlformats.org/officeDocument/2006/custom-properties" xmlns:vt="http://schemas.openxmlformats.org/officeDocument/2006/docPropsVTypes"/>
</file>